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37/2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СЛУЖБЫ 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ОТ 19 ДЕКАБРЯ 2013 ГОДА N 103/22 "О ЦЕНАХ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>) НА ЭЛЕКТРИЧЕСКУЮ ЭНЕРГИЮ (МОЩНОСТЬ), ПОСТАВЛЯЕМУЮ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ОБЩЕСТВОМ С ОГРАНИЧЕННОЙ ОТВЕТСТВЕННОСТЬЮ "РУСЭНЕРГОРЕСУРС"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НА ТЕРРИТОРИИ РЕСПУБЛИКИ КОМИ, ЗА ИСКЛЮЧЕНИЕМ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(МОЩНОСТИ), ПОСТАВЛЯЕМОЙ НАСЕЛЕНИЮ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ПОТРЕБИТЕЛЕЙ"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30 июня 2014 года N 40) приказываю: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19 декабря 2013 года N 103/22 "О ценах (тарифах) на электрическую энергию (мощность), поставляемую обществом с ограниченной ответственностью "РУСЭНЕРГОРЕСУРС" покупателям на территории Республики Коми, за исключением электрической энергии (мощности), поставляемой населению и приравненным к нему категориям потребителей" следующие изменения: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приложения NN 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, </w:t>
      </w:r>
      <w:hyperlink w:anchor="Par54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0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дополнить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приложением N 5 согласно </w:t>
      </w:r>
      <w:hyperlink w:anchor="Par1327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июля 2014 года.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37/2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lastRenderedPageBreak/>
        <w:t>ЦЕНЫ (ТАРИФЫ)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ПОКУПАТЕЛЯМ НА ТЕРРИТОРИИ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ЗА ИСКЛЮЧЕНИЕМ ЭЛЕКТРИЧЕСКОЙ ЭНЕРГИИ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ЭНЕРГОСНАБЖЕНИЯ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25E47" w:rsidSect="007B2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1247"/>
        <w:gridCol w:w="1278"/>
        <w:gridCol w:w="1589"/>
        <w:gridCol w:w="1246"/>
        <w:gridCol w:w="1477"/>
        <w:gridCol w:w="1421"/>
        <w:gridCol w:w="1354"/>
        <w:gridCol w:w="1418"/>
        <w:gridCol w:w="1559"/>
      </w:tblGrid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_GoBack"/>
            <w:bookmarkEnd w:id="3"/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75"/>
            <w:bookmarkEnd w:id="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76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2,75196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3,09828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3,47332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4,33969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2,77392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4,36165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130"/>
            <w:bookmarkEnd w:id="6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5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1,07444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1,11219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1,20072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1,74917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1,10352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1,77825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</w:t>
            </w:r>
            <w:r>
              <w:rPr>
                <w:rFonts w:ascii="Calibri" w:hAnsi="Calibri" w:cs="Calibri"/>
              </w:rPr>
              <w:lastRenderedPageBreak/>
              <w:t>стоимости единицы электроэнергии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5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" w:name="Par237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239"/>
            <w:bookmarkEnd w:id="8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2,32211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2,66843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3,04347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3,90984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2,35119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3,93892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293"/>
            <w:bookmarkEnd w:id="9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2,75196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3,09828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3,47332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4,33969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2,77392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4,36165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347"/>
            <w:bookmarkEnd w:id="10"/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7,20436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7,55068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7,92572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8,79209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7,42962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7,77594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8,14707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9,01735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401"/>
            <w:bookmarkEnd w:id="1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403"/>
            <w:bookmarkEnd w:id="12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2,32211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2,66843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3,04347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3,90984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2,35119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3,93892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</w:t>
            </w:r>
            <w:r>
              <w:rPr>
                <w:rFonts w:ascii="Calibri" w:hAnsi="Calibri" w:cs="Calibri"/>
              </w:rPr>
              <w:lastRenderedPageBreak/>
              <w:t xml:space="preserve">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457"/>
            <w:bookmarkEnd w:id="13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3,82418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4,17050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4,54554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5,41191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3,86574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4,21206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4,58319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5,45347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2,02765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 w:rsidT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</w:t>
            </w:r>
            <w:r>
              <w:rPr>
                <w:rFonts w:ascii="Calibri" w:hAnsi="Calibri" w:cs="Calibri"/>
              </w:rPr>
              <w:lastRenderedPageBreak/>
              <w:t xml:space="preserve">ные платежи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13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14"/>
      <w:bookmarkEnd w:id="15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15"/>
      <w:bookmarkEnd w:id="16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5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16"/>
      <w:bookmarkEnd w:id="17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517"/>
      <w:bookmarkEnd w:id="18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518"/>
      <w:bookmarkEnd w:id="1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4479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25E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530"/>
      <w:bookmarkEnd w:id="20"/>
      <w:r>
        <w:rPr>
          <w:rFonts w:ascii="Calibri" w:hAnsi="Calibri" w:cs="Calibri"/>
        </w:rPr>
        <w:t>Приложение N 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37/2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44"/>
      <w:bookmarkEnd w:id="21"/>
      <w:r>
        <w:rPr>
          <w:rFonts w:ascii="Calibri" w:hAnsi="Calibri" w:cs="Calibri"/>
        </w:rPr>
        <w:t>ЦЕНЫ (ТАРИФЫ)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 ДОГОВОРАМ ЭНЕРГОСНАБЖЕНИЯ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ТЕРРИТОРИИ РЕСПУБЛИКИ КОМИ,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ЭНЕРГОПРИНИМАЮЩИЕ </w:t>
      </w:r>
      <w:proofErr w:type="gramStart"/>
      <w:r>
        <w:rPr>
          <w:rFonts w:ascii="Calibri" w:hAnsi="Calibri" w:cs="Calibri"/>
        </w:rPr>
        <w:t>УСТРОЙСТВА</w:t>
      </w:r>
      <w:proofErr w:type="gramEnd"/>
      <w:r>
        <w:rPr>
          <w:rFonts w:ascii="Calibri" w:hAnsi="Calibri" w:cs="Calibri"/>
        </w:rPr>
        <w:t xml:space="preserve"> КОТОРЫХ ПРИСОЕДИНЕНЫ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СЕТЕВОЙ ОРГАНИЗАЦИИ </w:t>
      </w:r>
      <w:proofErr w:type="gramStart"/>
      <w:r>
        <w:rPr>
          <w:rFonts w:ascii="Calibri" w:hAnsi="Calibri" w:cs="Calibri"/>
        </w:rPr>
        <w:t>ЧЕРЕЗ</w:t>
      </w:r>
      <w:proofErr w:type="gramEnd"/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ЭНЕРГЕТИЧЕСКИЕ УСТАНОВКИ ПРОИЗВОДИТЕЛЕЙ ЭЛЕКТРИЧЕСКОЙ</w:t>
      </w:r>
      <w:proofErr w:type="gramEnd"/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ЭНЕРГИИ, ЗА ИСКЛЮЧЕНИЕМ ЭЛЕКТРИЧЕСКОЙ ЭНЕРГИИ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25E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154"/>
        <w:gridCol w:w="1077"/>
        <w:gridCol w:w="1587"/>
        <w:gridCol w:w="1757"/>
        <w:gridCol w:w="1871"/>
        <w:gridCol w:w="1814"/>
        <w:gridCol w:w="1587"/>
        <w:gridCol w:w="1814"/>
        <w:gridCol w:w="1814"/>
        <w:gridCol w:w="1814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22" w:name="Par582"/>
            <w:bookmarkEnd w:id="22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583"/>
            <w:bookmarkEnd w:id="2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639"/>
            <w:bookmarkEnd w:id="2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</w:t>
            </w:r>
            <w:r>
              <w:rPr>
                <w:rFonts w:ascii="Calibri" w:hAnsi="Calibri" w:cs="Calibri"/>
              </w:rPr>
              <w:lastRenderedPageBreak/>
              <w:t xml:space="preserve">мощности </w:t>
            </w:r>
            <w:hyperlink w:anchor="Par103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1,01582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1,01582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1,01582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1,04490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</w:t>
            </w:r>
            <w:r>
              <w:rPr>
                <w:rFonts w:ascii="Calibri" w:hAnsi="Calibri" w:cs="Calibri"/>
              </w:rPr>
              <w:lastRenderedPageBreak/>
              <w:t xml:space="preserve">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" w:name="Par746"/>
            <w:bookmarkEnd w:id="2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748"/>
            <w:bookmarkEnd w:id="26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804"/>
            <w:bookmarkEnd w:id="27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860"/>
            <w:bookmarkEnd w:id="28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16"/>
            <w:bookmarkEnd w:id="29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036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918"/>
            <w:bookmarkEnd w:id="30"/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" w:name="Par974"/>
            <w:bookmarkEnd w:id="31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038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03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7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03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927,70517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1 035,67174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1 345,10095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оплату технологического расхода (потерь) электроэнергии </w:t>
            </w:r>
            <w:hyperlink w:anchor="Par103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03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032"/>
      <w:bookmarkEnd w:id="3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1033"/>
      <w:bookmarkEnd w:id="33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1034"/>
      <w:bookmarkEnd w:id="34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8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1035"/>
      <w:bookmarkEnd w:id="35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1036"/>
      <w:bookmarkEnd w:id="36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1037"/>
      <w:bookmarkEnd w:id="37"/>
      <w:r>
        <w:rPr>
          <w:rFonts w:ascii="Calibri" w:hAnsi="Calibri" w:cs="Calibri"/>
        </w:rPr>
        <w:t>&lt;6&gt;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1038"/>
      <w:bookmarkEnd w:id="38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225E4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050"/>
      <w:bookmarkEnd w:id="39"/>
      <w:r>
        <w:rPr>
          <w:rFonts w:ascii="Calibri" w:hAnsi="Calibri" w:cs="Calibri"/>
        </w:rPr>
        <w:t>Приложение N 3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37/2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0" w:name="Par1064"/>
      <w:bookmarkEnd w:id="40"/>
      <w:r>
        <w:rPr>
          <w:rFonts w:ascii="Calibri" w:hAnsi="Calibri" w:cs="Calibri"/>
        </w:rPr>
        <w:t>ЦЕНЫ (ТАРИФЫ)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 ДОГОВОРАМ ЭНЕРГОСНАБЖЕНИЯ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ТЕРРИТОРИИ РЕСПУБЛИКИ КОМИ, ЗА ИСКЛЮЧЕНИЕМ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(МОЩНОСТИ), ПОСТАВЛЯЕМОЙ НАСЕЛЕНИЮ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ПОТРЕБИТЕЛЕЙ, УСЛУГИ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(МОЩНОСТИ) КОТОРЫМ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ОКАЗЫВАЮТСЯ ТОЛЬКО С ИСПОЛЬЗОВАНИЕМ ОБЪЕКТОВ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ЭЛЕКТРОСЕТЕВОГО ХОЗЯЙСТВА, ВХОДЯЩИХ В </w:t>
      </w:r>
      <w:proofErr w:type="gramStart"/>
      <w:r>
        <w:rPr>
          <w:rFonts w:ascii="Calibri" w:hAnsi="Calibri" w:cs="Calibri"/>
        </w:rPr>
        <w:t>ЕДИНУЮ</w:t>
      </w:r>
      <w:proofErr w:type="gramEnd"/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(ОБЩЕРОССИЙСКУЮ) ЭЛЕКТРИЧЕСКУЮ СЕТЬ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25E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252"/>
        <w:gridCol w:w="1471"/>
        <w:gridCol w:w="1531"/>
        <w:gridCol w:w="1531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1" w:name="Par1086"/>
            <w:bookmarkEnd w:id="41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087"/>
            <w:bookmarkEnd w:id="4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113"/>
            <w:bookmarkEnd w:id="4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9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1,17766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1,20674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средневзвешенной стоимости </w:t>
            </w:r>
            <w:r>
              <w:rPr>
                <w:rFonts w:ascii="Calibri" w:hAnsi="Calibri" w:cs="Calibri"/>
              </w:rPr>
              <w:lastRenderedPageBreak/>
              <w:t>единицы электроэнергии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160"/>
            <w:bookmarkEnd w:id="4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30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1162"/>
            <w:bookmarkEnd w:id="45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1188"/>
            <w:bookmarkEnd w:id="46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1,40708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7" w:name="Par1214"/>
            <w:bookmarkEnd w:id="47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5,85948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240"/>
            <w:bookmarkEnd w:id="48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30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9" w:name="Par1242"/>
            <w:bookmarkEnd w:id="49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нормативных </w:t>
            </w:r>
            <w:r>
              <w:rPr>
                <w:rFonts w:ascii="Calibri" w:hAnsi="Calibri" w:cs="Calibri"/>
              </w:rPr>
              <w:lastRenderedPageBreak/>
              <w:t>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0" w:name="Par1268"/>
            <w:bookmarkEnd w:id="50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30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2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2,47930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29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2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1296"/>
      <w:bookmarkEnd w:id="5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97"/>
      <w:bookmarkEnd w:id="52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298"/>
      <w:bookmarkEnd w:id="53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1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299"/>
      <w:bookmarkEnd w:id="54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300"/>
      <w:bookmarkEnd w:id="55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1301"/>
      <w:bookmarkEnd w:id="56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4365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7" w:name="Par1313"/>
      <w:bookmarkEnd w:id="57"/>
      <w:r>
        <w:rPr>
          <w:rFonts w:ascii="Calibri" w:hAnsi="Calibri" w:cs="Calibri"/>
        </w:rPr>
        <w:t>Приложение N 4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2014 г. N 37/2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5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103/22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1327"/>
      <w:bookmarkEnd w:id="58"/>
      <w:r>
        <w:rPr>
          <w:rFonts w:ascii="Calibri" w:hAnsi="Calibri" w:cs="Calibri"/>
        </w:rPr>
        <w:t>ЦЕНЫ (ТАРИФЫ)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"РУСЭНЕРГОРЕСУРС" ПО ДОГОВОРАМ ЭНЕРГОСНАБЖЕНИЯ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МОНОПОТРЕБИТЕЛЮ ОАО "СЕВЕРНЫЕ МАГИСТРАЛЬНЫЕ НЕФТЕПРОВОДЫ",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ЭНЕРГОПРИНИМАЮЩИЕ </w:t>
      </w:r>
      <w:proofErr w:type="gramStart"/>
      <w:r>
        <w:rPr>
          <w:rFonts w:ascii="Calibri" w:hAnsi="Calibri" w:cs="Calibri"/>
        </w:rPr>
        <w:t>УСТРОЙСТВА</w:t>
      </w:r>
      <w:proofErr w:type="gramEnd"/>
      <w:r>
        <w:rPr>
          <w:rFonts w:ascii="Calibri" w:hAnsi="Calibri" w:cs="Calibri"/>
        </w:rPr>
        <w:t xml:space="preserve"> КОТОРОГО ПРИСОЕДИНЕНЫ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СЕТЕВОЙ ОРГАНИЗАЦ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"ТРАНСНЕФТЬЭЛЕКТРОСЕТЬСЕРВИС"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531"/>
        <w:gridCol w:w="1814"/>
        <w:gridCol w:w="1814"/>
        <w:gridCol w:w="1814"/>
        <w:gridCol w:w="1814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напряжения, на которых электрическая энергия поступает в сет</w:t>
            </w:r>
            <w:proofErr w:type="gramStart"/>
            <w:r>
              <w:rPr>
                <w:rFonts w:ascii="Calibri" w:hAnsi="Calibri" w:cs="Calibri"/>
              </w:rPr>
              <w:t>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9" w:name="Par1351"/>
            <w:bookmarkEnd w:id="59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1352"/>
            <w:bookmarkEnd w:id="6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3,96596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4,83624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1400"/>
            <w:bookmarkEnd w:id="6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4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1 257,12092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1 365,26441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1 671,84388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1 425,99140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энергии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1,13501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1,17276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1,26129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1,80974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311,09720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единая ставка на содержание электрических сетей </w:t>
            </w:r>
            <w:hyperlink w:anchor="Par174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1 257,12092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1 365,26441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1 671,84388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1 425,99140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927,52560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1 035,66909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1 342,24856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1 096,39608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329,59532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329,59532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329,59532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329,59532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0,21639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0,76484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0,73335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0,03149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1493"/>
            <w:bookmarkEnd w:id="6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</w:t>
            </w:r>
            <w:hyperlink w:anchor="Par174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3" w:name="Par1495"/>
            <w:bookmarkEnd w:id="63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3,54323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4,41351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4" w:name="Par1543"/>
            <w:bookmarkEnd w:id="64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3,24851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3,59483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3,96596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4,83624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1,39996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5" w:name="Par1591"/>
            <w:bookmarkEnd w:id="65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7,90421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8,25053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8,62166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9,49194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6,05566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1639"/>
            <w:bookmarkEnd w:id="6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</w:t>
            </w:r>
            <w:hyperlink w:anchor="Par174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7" w:name="Par1641"/>
            <w:bookmarkEnd w:id="67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2,82578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3,54323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4,41351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0,97723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8" w:name="Par1689"/>
            <w:bookmarkEnd w:id="68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 </w:t>
            </w:r>
            <w:hyperlink w:anchor="Par174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4,34033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4,68665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5,05778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5,92806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7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2,49178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1,78088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2,49833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3,36861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1,30629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1,65261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2,02374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2,89402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для сетевой организац</w:t>
            </w:r>
            <w:proofErr w:type="gramStart"/>
            <w:r>
              <w:rPr>
                <w:rFonts w:ascii="Calibri" w:hAnsi="Calibri" w:cs="Calibri"/>
              </w:rPr>
              <w:t>ии ООО</w:t>
            </w:r>
            <w:proofErr w:type="gramEnd"/>
            <w:r>
              <w:rPr>
                <w:rFonts w:ascii="Calibri" w:hAnsi="Calibri" w:cs="Calibri"/>
              </w:rPr>
              <w:t xml:space="preserve">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 xml:space="preserve">", обслуживающих </w:t>
            </w:r>
            <w:proofErr w:type="spellStart"/>
            <w:r>
              <w:rPr>
                <w:rFonts w:ascii="Calibri" w:hAnsi="Calibri" w:cs="Calibri"/>
              </w:rPr>
              <w:t>монопотребителя</w:t>
            </w:r>
            <w:proofErr w:type="spellEnd"/>
            <w:r>
              <w:rPr>
                <w:rFonts w:ascii="Calibri" w:hAnsi="Calibri" w:cs="Calibri"/>
              </w:rPr>
              <w:t xml:space="preserve"> ОАО "Северные магистральные нефтепроводы"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0,47459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инфраструктурные платежи </w:t>
            </w:r>
            <w:hyperlink w:anchor="Par17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1739"/>
      <w:bookmarkEnd w:id="6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1740"/>
      <w:bookmarkEnd w:id="70"/>
      <w:r>
        <w:rPr>
          <w:rFonts w:ascii="Calibri" w:hAnsi="Calibri" w:cs="Calibri"/>
        </w:rP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1741"/>
      <w:bookmarkEnd w:id="71"/>
      <w:r>
        <w:rPr>
          <w:rFonts w:ascii="Calibri" w:hAnsi="Calibri" w:cs="Calibri"/>
        </w:rP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24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742"/>
      <w:bookmarkEnd w:id="72"/>
      <w:r>
        <w:rPr>
          <w:rFonts w:ascii="Calibri" w:hAnsi="Calibri" w:cs="Calibri"/>
        </w:rPr>
        <w:t xml:space="preserve">&lt;4&gt; Ставка стоимости единицы электрической мощности, определяемой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1743"/>
      <w:bookmarkEnd w:id="73"/>
      <w:r>
        <w:rPr>
          <w:rFonts w:ascii="Calibri" w:hAnsi="Calibri" w:cs="Calibri"/>
        </w:rPr>
        <w:t>&lt;5&gt; Интервалы тарифных зон суток (по месяцам календарного года) утверждаются Федеральной службой по тарифам.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744"/>
      <w:bookmarkEnd w:id="7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>ключает также расходы на реализацию (сбыт) электрической энергии в размере: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5"/>
      </w:tblGrid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без НДС</w:t>
            </w:r>
          </w:p>
        </w:tc>
      </w:tr>
      <w:tr w:rsidR="00225E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47" w:rsidRDefault="0022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0,06482</w:t>
            </w:r>
          </w:p>
        </w:tc>
      </w:tr>
    </w:tbl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E47" w:rsidRDefault="00225E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46E1" w:rsidRDefault="00C246E1"/>
    <w:sectPr w:rsidR="00C246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7"/>
    <w:rsid w:val="00225E47"/>
    <w:rsid w:val="00C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5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A3B2D03C0609CAE60DF86630370316F74BB386FBB3DB967833E53427F6460z007L" TargetMode="External"/><Relationship Id="rId13" Type="http://schemas.openxmlformats.org/officeDocument/2006/relationships/hyperlink" Target="consultantplus://offline/ref=C95A3B2D03C0609CAE60DF86630370316F74BB386EBE35B96C833E53427F6460z007L" TargetMode="External"/><Relationship Id="rId18" Type="http://schemas.openxmlformats.org/officeDocument/2006/relationships/hyperlink" Target="consultantplus://offline/ref=C95A3B2D03C0609CAE60C18B756F2E35687AED3C62BF37E632DC650E15766E37408BDB4D6BEC79F1z40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A3B2D03C0609CAE60C18B756F2E35687AED3C62BF37E632DC650E15766E37408BDB4D6BEC79F1z400L" TargetMode="External"/><Relationship Id="rId7" Type="http://schemas.openxmlformats.org/officeDocument/2006/relationships/hyperlink" Target="consultantplus://offline/ref=C95A3B2D03C0609CAE60C18B756F2E356879E73164BA37E632DC650E15766E37408BDB4D6BEC79F6z400L" TargetMode="External"/><Relationship Id="rId12" Type="http://schemas.openxmlformats.org/officeDocument/2006/relationships/hyperlink" Target="consultantplus://offline/ref=C95A3B2D03C0609CAE60DF86630370316F74BB386EBE35B96C833E53427F646007C4820F2FE178F74138C8z40CL" TargetMode="External"/><Relationship Id="rId17" Type="http://schemas.openxmlformats.org/officeDocument/2006/relationships/hyperlink" Target="consultantplus://offline/ref=C95A3B2D03C0609CAE60C18B756F2E35687CE13264B937E632DC650E15z706L" TargetMode="External"/><Relationship Id="rId25" Type="http://schemas.openxmlformats.org/officeDocument/2006/relationships/hyperlink" Target="consultantplus://offline/ref=C95A3B2D03C0609CAE60C18B756F2E356879E13666B137E632DC650E15766E37408BDB4D6BEC7AF0z40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5A3B2D03C0609CAE60C18B756F2E356879E13666B137E632DC650E15766E37408BDB4D6BEC7AF0z408L" TargetMode="External"/><Relationship Id="rId20" Type="http://schemas.openxmlformats.org/officeDocument/2006/relationships/hyperlink" Target="consultantplus://offline/ref=C95A3B2D03C0609CAE60C18B756F2E35687CE13264B937E632DC650E15z70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A3B2D03C0609CAE60C18B756F2E356879E13667BA37E632DC650E15z706L" TargetMode="External"/><Relationship Id="rId11" Type="http://schemas.openxmlformats.org/officeDocument/2006/relationships/hyperlink" Target="consultantplus://offline/ref=C95A3B2D03C0609CAE60DF86630370316F74BB386EBE35B96C833E53427F646007C4820F2FE178F74139CAz405L" TargetMode="External"/><Relationship Id="rId24" Type="http://schemas.openxmlformats.org/officeDocument/2006/relationships/hyperlink" Target="consultantplus://offline/ref=C95A3B2D03C0609CAE60C18B756F2E35687AED3C62BF37E632DC650E15766E37408BDB4D6BEC79F1z400L" TargetMode="External"/><Relationship Id="rId5" Type="http://schemas.openxmlformats.org/officeDocument/2006/relationships/hyperlink" Target="consultantplus://offline/ref=C95A3B2D03C0609CAE60C18B756F2E356879E43C61BA37E632DC650E15z706L" TargetMode="External"/><Relationship Id="rId15" Type="http://schemas.openxmlformats.org/officeDocument/2006/relationships/hyperlink" Target="consultantplus://offline/ref=C95A3B2D03C0609CAE60C18B756F2E35687AED3C62BF37E632DC650E15766E37408BDB4D6BEC79F1z400L" TargetMode="External"/><Relationship Id="rId23" Type="http://schemas.openxmlformats.org/officeDocument/2006/relationships/hyperlink" Target="consultantplus://offline/ref=C95A3B2D03C0609CAE60C18B756F2E35687CE13264B937E632DC650E15z706L" TargetMode="External"/><Relationship Id="rId10" Type="http://schemas.openxmlformats.org/officeDocument/2006/relationships/hyperlink" Target="consultantplus://offline/ref=C95A3B2D03C0609CAE60DF86630370316F74BB386EBE35B96C833E53427F646007C4820F2FE178F74139CCz405L" TargetMode="External"/><Relationship Id="rId19" Type="http://schemas.openxmlformats.org/officeDocument/2006/relationships/hyperlink" Target="consultantplus://offline/ref=C95A3B2D03C0609CAE60C18B756F2E356879E13666B137E632DC650E15766E37408BDB4D6BEC7AF0z40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A3B2D03C0609CAE60DF86630370316F74BB386EBE35B96C833E53427F6460z007L" TargetMode="External"/><Relationship Id="rId14" Type="http://schemas.openxmlformats.org/officeDocument/2006/relationships/hyperlink" Target="consultantplus://offline/ref=C95A3B2D03C0609CAE60C18B756F2E35687CE13264B937E632DC650E15z706L" TargetMode="External"/><Relationship Id="rId22" Type="http://schemas.openxmlformats.org/officeDocument/2006/relationships/hyperlink" Target="consultantplus://offline/ref=C95A3B2D03C0609CAE60C18B756F2E356879E13666B137E632DC650E15766E37408BDB4D6BEC7AF0z40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Anastasia A. Yakusheva</cp:lastModifiedBy>
  <cp:revision>1</cp:revision>
  <dcterms:created xsi:type="dcterms:W3CDTF">2014-07-14T11:52:00Z</dcterms:created>
  <dcterms:modified xsi:type="dcterms:W3CDTF">2014-07-14T11:54:00Z</dcterms:modified>
</cp:coreProperties>
</file>